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2677" w:rsidRPr="00252677" w:rsidRDefault="00252677" w:rsidP="00252677">
      <w:pPr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25267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НАУКА И ТЕХНОЛОГИИ</w:t>
      </w:r>
    </w:p>
    <w:p w:rsidR="00252677" w:rsidRPr="00252677" w:rsidRDefault="00252677" w:rsidP="00252677">
      <w:pPr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252677" w:rsidRPr="00252677" w:rsidRDefault="00252677" w:rsidP="00252677">
      <w:pPr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25267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Надежность инструмента под контролем</w:t>
      </w:r>
    </w:p>
    <w:p w:rsidR="00252677" w:rsidRPr="00252677" w:rsidRDefault="00252677" w:rsidP="002526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</w:pPr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 xml:space="preserve">Компания </w:t>
      </w:r>
      <w:proofErr w:type="spellStart"/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>Holmatro</w:t>
      </w:r>
      <w:proofErr w:type="spellEnd"/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 xml:space="preserve"> представила технологию </w:t>
      </w:r>
      <w:proofErr w:type="gramStart"/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>контроля ресурса работы аварийно-спасательного инструмента аккумуляторного типа серии</w:t>
      </w:r>
      <w:proofErr w:type="gramEnd"/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>next-gen</w:t>
      </w:r>
      <w:proofErr w:type="spellEnd"/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>.</w:t>
      </w:r>
    </w:p>
    <w:p w:rsidR="00252677" w:rsidRPr="00252677" w:rsidRDefault="00252677" w:rsidP="002526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</w:pPr>
      <w:r w:rsidRPr="00252677">
        <w:rPr>
          <w:rFonts w:ascii="Times New Roman" w:eastAsia="Times New Roman" w:hAnsi="Times New Roman" w:cs="Times New Roman"/>
          <w:noProof/>
          <w:spacing w:val="3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61312" behindDoc="1" locked="0" layoutInCell="1" allowOverlap="1" wp14:anchorId="24B98CDC" wp14:editId="7D5D89A4">
            <wp:simplePos x="0" y="0"/>
            <wp:positionH relativeFrom="column">
              <wp:posOffset>69215</wp:posOffset>
            </wp:positionH>
            <wp:positionV relativeFrom="paragraph">
              <wp:posOffset>777240</wp:posOffset>
            </wp:positionV>
            <wp:extent cx="3727450" cy="1727835"/>
            <wp:effectExtent l="0" t="0" r="6350" b="5715"/>
            <wp:wrapTight wrapText="bothSides">
              <wp:wrapPolygon edited="0">
                <wp:start x="0" y="0"/>
                <wp:lineTo x="0" y="21433"/>
                <wp:lineTo x="21526" y="21433"/>
                <wp:lineTo x="21526" y="0"/>
                <wp:lineTo x="0" y="0"/>
              </wp:wrapPolygon>
            </wp:wrapTight>
            <wp:docPr id="1" name="Рисунок 1" descr="xiOTvCP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iOTvCPQ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0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 xml:space="preserve">Усовершенствованная серия аварийно-спасательного инструмента </w:t>
      </w:r>
      <w:proofErr w:type="spellStart"/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>next-gen</w:t>
      </w:r>
      <w:proofErr w:type="spellEnd"/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 xml:space="preserve"> семейства </w:t>
      </w:r>
      <w:proofErr w:type="spellStart"/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>Pantheon</w:t>
      </w:r>
      <w:proofErr w:type="spellEnd"/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>,  значительно эволюционировала в технологии производства и процессе эксплуатации по сравнению с аналогичным инструментом. Новая серия инструмента оснащена переработанной приводной системой, которая создаёт более низкий уровень шума при работе, обеспечивая более четкую коммуникацию между спасателями при проведении аварийно-спасательных работ. Это не только облегчает координирование подразделения, но и помогает снизить уровень стресса пострадавших на месте проведения аварийно-спасательных работ.</w:t>
      </w:r>
    </w:p>
    <w:p w:rsidR="00252677" w:rsidRPr="00252677" w:rsidRDefault="00252677" w:rsidP="002526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</w:pPr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 xml:space="preserve">Инструменты унаследовали надежный функционал </w:t>
      </w:r>
      <w:proofErr w:type="spellStart"/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>Pantheon</w:t>
      </w:r>
      <w:proofErr w:type="spellEnd"/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 xml:space="preserve"> в скорости выполнения работ, контроле и простоте управления аккумуляторными батареями, который вывел технологию проведения аварийно-спасательных работ на новый уровень.  Оборудование серии </w:t>
      </w:r>
      <w:proofErr w:type="spellStart"/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>next-gen</w:t>
      </w:r>
      <w:proofErr w:type="spellEnd"/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 xml:space="preserve"> представляет собой аккумуляторный инструмент, характеризующийся высокими показателями надежности и качества. Автономность инструмента достигается за счет применения сменных аккумуляторов, что обеспечивает простоту обслуживания и эксплуатации. </w:t>
      </w:r>
    </w:p>
    <w:p w:rsidR="00252677" w:rsidRPr="00252677" w:rsidRDefault="00252677" w:rsidP="002526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</w:pPr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 xml:space="preserve">Высокая производительность и надежность инструмента обусловлена наличием нескольких режимов работы: </w:t>
      </w:r>
      <w:proofErr w:type="gramStart"/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>тренировочный</w:t>
      </w:r>
      <w:proofErr w:type="gramEnd"/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 xml:space="preserve"> и номинальный. Отличительная особенность этих режимов заключается в скорости работы инструмента. Тренировочный режим идеально подходит для обучающих сценариев работы, обеспечивая безопасность и развитие навыков проведения аварийно-спасательных работ. Номинальный режим обеспечивает работу инструмента на полной мощности, что снижает временные показатели проведения аварийно-спасательных, а так же способствует более быстрому извлечению пострадавших. </w:t>
      </w:r>
    </w:p>
    <w:p w:rsidR="00252677" w:rsidRPr="00252677" w:rsidRDefault="00252677" w:rsidP="002526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</w:pPr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 xml:space="preserve">Удобство обслуживания  аварийно-спасательного инструмента серии </w:t>
      </w:r>
      <w:proofErr w:type="spellStart"/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>next-gen</w:t>
      </w:r>
      <w:proofErr w:type="spellEnd"/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 xml:space="preserve"> семейства </w:t>
      </w:r>
      <w:proofErr w:type="spellStart"/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>Pantheon</w:t>
      </w:r>
      <w:proofErr w:type="spellEnd"/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 xml:space="preserve"> достигается за счет визуального мониторинга. Эффективность мониторинга обусловлена оснащением аварийно-спасательного инструмента светодиодными индикаторами, которые обеспечивают обратную связь о состоянии заряда и работоспособности батареи, а также о температуре самого инструмента и его батареи. </w:t>
      </w:r>
    </w:p>
    <w:p w:rsidR="00252677" w:rsidRPr="00252677" w:rsidRDefault="00252677" w:rsidP="002526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</w:pPr>
      <w:r w:rsidRPr="00252677">
        <w:rPr>
          <w:rFonts w:ascii="Times New Roman" w:eastAsia="Times New Roman" w:hAnsi="Times New Roman" w:cs="Times New Roman"/>
          <w:noProof/>
          <w:spacing w:val="3"/>
          <w:sz w:val="28"/>
          <w:szCs w:val="28"/>
          <w:bdr w:val="none" w:sz="0" w:space="0" w:color="auto" w:frame="1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087661DA" wp14:editId="409492AE">
            <wp:simplePos x="0" y="0"/>
            <wp:positionH relativeFrom="column">
              <wp:posOffset>50165</wp:posOffset>
            </wp:positionH>
            <wp:positionV relativeFrom="paragraph">
              <wp:posOffset>1311910</wp:posOffset>
            </wp:positionV>
            <wp:extent cx="3016250" cy="2010410"/>
            <wp:effectExtent l="0" t="0" r="0" b="8890"/>
            <wp:wrapTight wrapText="bothSides">
              <wp:wrapPolygon edited="0">
                <wp:start x="0" y="0"/>
                <wp:lineTo x="0" y="21491"/>
                <wp:lineTo x="21418" y="21491"/>
                <wp:lineTo x="21418" y="0"/>
                <wp:lineTo x="0" y="0"/>
              </wp:wrapPolygon>
            </wp:wrapTight>
            <wp:docPr id="2" name="Рисунок 2" descr="W_vJ5B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_vJ5Bd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201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 xml:space="preserve">Кроме того, инженерами </w:t>
      </w:r>
      <w:proofErr w:type="spellStart"/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>Holmatro</w:t>
      </w:r>
      <w:proofErr w:type="spellEnd"/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 xml:space="preserve"> разработано программное обеспечение </w:t>
      </w:r>
      <w:proofErr w:type="spellStart"/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>MyHolmatro</w:t>
      </w:r>
      <w:proofErr w:type="spellEnd"/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>, которое позволяет проводить комплексную автоматизированную самопроверку инструмента, оценивая систему привода, скорость, давление и состояние батареи. Инструментальный контроль технического состояния оборудования позволяет поддерживать техническую готовность  инструмента к использованию, сокращать время простоя и повышать надежность. Кроме того, сервисные оповещения позволят спасателям оперативно получать информацию о готовности инструмента и его рабочем состоянии.</w:t>
      </w:r>
    </w:p>
    <w:p w:rsidR="00252677" w:rsidRPr="00252677" w:rsidRDefault="00252677" w:rsidP="002526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</w:pPr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 xml:space="preserve">Серия аварийно-спасательного инструмента </w:t>
      </w:r>
      <w:proofErr w:type="spellStart"/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>Pantheon</w:t>
      </w:r>
      <w:proofErr w:type="spellEnd"/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 xml:space="preserve"> оснащена системой беспроводной связи </w:t>
      </w:r>
      <w:proofErr w:type="spellStart"/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>Bluetooth</w:t>
      </w:r>
      <w:proofErr w:type="spellEnd"/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 xml:space="preserve">, позволяя подключаться к мобильным устройствам с приложением </w:t>
      </w:r>
      <w:proofErr w:type="spellStart"/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>MyHolmatro</w:t>
      </w:r>
      <w:proofErr w:type="spellEnd"/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>. Это приложение позволяет осуществлять проверку технического состояния инструмента в процессе использования и обслуживания. Спасатели могут получать доступ к диагностике инструмента в режиме реального времени, отслеживать состояние батареи и инструмента, а также обеспечивать готовность оборудования к применению. Контроль технического состояния элементов инструмента позволяет обеспечить максимальную надёжность на протяжении всего срока службы. Это достигается за счет электронного управления приводом и контролем рабочего давления, гарантирующего стабильную производительность инструмента.</w:t>
      </w:r>
    </w:p>
    <w:p w:rsidR="00252677" w:rsidRPr="00252677" w:rsidRDefault="00252677" w:rsidP="002526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</w:pPr>
      <w:hyperlink r:id="rId7" w:history="1">
        <w:r w:rsidRPr="00252677">
          <w:rPr>
            <w:rFonts w:ascii="Times New Roman" w:eastAsia="Times New Roman" w:hAnsi="Times New Roman" w:cs="Times New Roman"/>
            <w:spacing w:val="3"/>
            <w:sz w:val="28"/>
            <w:szCs w:val="28"/>
            <w:bdr w:val="none" w:sz="0" w:space="0" w:color="auto" w:frame="1"/>
            <w:lang w:eastAsia="ru-RU"/>
          </w:rPr>
          <w:t>portal.edufire37.ru</w:t>
        </w:r>
      </w:hyperlink>
    </w:p>
    <w:p w:rsidR="00252677" w:rsidRPr="00252677" w:rsidRDefault="00252677" w:rsidP="00252677">
      <w:pPr>
        <w:spacing w:after="0" w:line="240" w:lineRule="auto"/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</w:pPr>
    </w:p>
    <w:p w:rsidR="00252677" w:rsidRPr="00252677" w:rsidRDefault="00252677" w:rsidP="00252677">
      <w:pPr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25267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Китай и Сингапур создали сверхтонкое «умное» волокно</w:t>
      </w:r>
    </w:p>
    <w:p w:rsidR="00252677" w:rsidRPr="00252677" w:rsidRDefault="00252677" w:rsidP="002526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</w:pPr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>Оно тоньше человеческого волоса и может быть вплетено в повседневную одежду, при этом его доля в общем объеме ткани составит менее 5%</w:t>
      </w:r>
    </w:p>
    <w:p w:rsidR="00252677" w:rsidRPr="00252677" w:rsidRDefault="00252677" w:rsidP="002526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</w:pPr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>Группа китайских и сингапурских ученых на основе полупроводников создала сверхтонкое волокно, которое может стать прорывом в области носимой электроники и "умной" одежды.</w:t>
      </w:r>
    </w:p>
    <w:p w:rsidR="00252677" w:rsidRPr="00252677" w:rsidRDefault="00252677" w:rsidP="002526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</w:pPr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>Газета </w:t>
      </w:r>
      <w:proofErr w:type="spellStart"/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fldChar w:fldCharType="begin"/>
      </w:r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instrText xml:space="preserve"> HYPERLINK "https://www.scmp.com/" \t "_blank" </w:instrText>
      </w:r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fldChar w:fldCharType="separate"/>
      </w:r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>South</w:t>
      </w:r>
      <w:proofErr w:type="spellEnd"/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>China</w:t>
      </w:r>
      <w:proofErr w:type="spellEnd"/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>Morning</w:t>
      </w:r>
      <w:proofErr w:type="spellEnd"/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>Post</w:t>
      </w:r>
      <w:proofErr w:type="spellEnd"/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fldChar w:fldCharType="end"/>
      </w:r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> со ссылкой на публикацию ученых с описанием изобретения в журнале </w:t>
      </w:r>
      <w:proofErr w:type="spellStart"/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fldChar w:fldCharType="begin"/>
      </w:r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instrText xml:space="preserve"> HYPERLINK "https://www.nature.com/" \t "_blank" </w:instrText>
      </w:r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fldChar w:fldCharType="separate"/>
      </w:r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>Nature</w:t>
      </w:r>
      <w:proofErr w:type="spellEnd"/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> </w:t>
      </w:r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fldChar w:fldCharType="end"/>
      </w:r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 xml:space="preserve">сообщила, что волокно устойчиво к воде и стирке. Оно тоньше человеческого волоса и может быть вплетено в повседневную одежду, при этом его доля в общем объеме ткани составит менее 5%. Как отметил ведущий исследователь </w:t>
      </w:r>
      <w:proofErr w:type="spellStart"/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>Вэй</w:t>
      </w:r>
      <w:proofErr w:type="spellEnd"/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>Лэй</w:t>
      </w:r>
      <w:proofErr w:type="spellEnd"/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>, пользователи при ношении не почувствуют разницы с обычной одеждой.</w:t>
      </w:r>
    </w:p>
    <w:p w:rsidR="00252677" w:rsidRPr="00252677" w:rsidRDefault="00252677" w:rsidP="002526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</w:pPr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 xml:space="preserve">Свитер, снабженный таким волокном, сможет обмениваться фотографиями с другими пользователями через беспроводную систему связи на основе оптических элементов. Шапка, сшитая аналогичным </w:t>
      </w:r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lastRenderedPageBreak/>
        <w:t>образом, поможет человеку с дефектами зрения безопасно переходить дорогу, отправляя сигналы на его смартфон. "Умная" кофта, надетая для похода в музей, может выступить в роли экскурсовода, собирая информацию об экспонатах и передавая ее в наушник пользователя. Кроме того, это волокно может найти широкое применение в сфере здоровья и медицины.</w:t>
      </w:r>
    </w:p>
    <w:p w:rsidR="00252677" w:rsidRPr="00252677" w:rsidRDefault="00252677" w:rsidP="002526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</w:pPr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>Команда ученых планирует в будущем создать батареи из "умного" волокна для питания дисплеев и вычислительных элементов. Комплект такой одежды потенциально сможет заменить привычные гаджеты.</w:t>
      </w:r>
    </w:p>
    <w:p w:rsidR="00252677" w:rsidRPr="00252677" w:rsidRDefault="00252677" w:rsidP="002526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</w:pPr>
      <w:hyperlink r:id="rId8" w:history="1">
        <w:r w:rsidRPr="00252677">
          <w:rPr>
            <w:rFonts w:ascii="Times New Roman" w:eastAsia="Calibri" w:hAnsi="Times New Roman" w:cs="Times New Roman"/>
            <w:sz w:val="28"/>
            <w:szCs w:val="28"/>
            <w:lang w:eastAsia="ru-RU"/>
          </w:rPr>
          <w:t>nauka.tass.ru</w:t>
        </w:r>
      </w:hyperlink>
    </w:p>
    <w:p w:rsidR="00252677" w:rsidRPr="00252677" w:rsidRDefault="00252677" w:rsidP="002526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</w:pPr>
    </w:p>
    <w:p w:rsidR="00252677" w:rsidRPr="00252677" w:rsidRDefault="00252677" w:rsidP="00252677">
      <w:pPr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25267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Использование поисковых камер и собачьего опыта в случае землетрясений</w:t>
      </w:r>
    </w:p>
    <w:p w:rsidR="00252677" w:rsidRPr="00252677" w:rsidRDefault="00252677" w:rsidP="002526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</w:pPr>
      <w:r w:rsidRPr="00252677">
        <w:rPr>
          <w:rFonts w:ascii="Times New Roman" w:eastAsia="Times New Roman" w:hAnsi="Times New Roman" w:cs="Times New Roman"/>
          <w:noProof/>
          <w:spacing w:val="3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60288" behindDoc="1" locked="0" layoutInCell="1" allowOverlap="1" wp14:anchorId="1ECBF6AD" wp14:editId="11C3200B">
            <wp:simplePos x="0" y="0"/>
            <wp:positionH relativeFrom="column">
              <wp:posOffset>75565</wp:posOffset>
            </wp:positionH>
            <wp:positionV relativeFrom="paragraph">
              <wp:posOffset>544195</wp:posOffset>
            </wp:positionV>
            <wp:extent cx="1905000" cy="1828800"/>
            <wp:effectExtent l="0" t="0" r="0" b="0"/>
            <wp:wrapTight wrapText="bothSides">
              <wp:wrapPolygon edited="0">
                <wp:start x="0" y="0"/>
                <wp:lineTo x="0" y="21375"/>
                <wp:lineTo x="21384" y="21375"/>
                <wp:lineTo x="21384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81" t="20725" r="29733" b="24515"/>
                    <a:stretch/>
                  </pic:blipFill>
                  <pic:spPr bwMode="auto">
                    <a:xfrm>
                      <a:off x="0" y="0"/>
                      <a:ext cx="1905000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>После разрушительного землетрясения невозможно переоценить важность быстрых и эффективных поисково-спасательных операций. Жизнь висит на волоске и каждая секунда на счету. Пожалуй, двумя лучшими инструментами для такой операции являются поисково-спасательные камеры и специально обученные собаки, которые являются незаменимыми помощниками. Вместе они образуют мощный дуэт, который значительно повышает эффективность и успех усилий по восстановлению после землетрясения.</w:t>
      </w:r>
    </w:p>
    <w:p w:rsidR="00252677" w:rsidRPr="00252677" w:rsidRDefault="00252677" w:rsidP="002526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</w:pPr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 xml:space="preserve">Современные технологии снабдили спасателей современными поисково-спасательными камерами, которые играют ключевую роль в спасении. Ручные поисковые камеры теперь обеспечивают съемку на 360° и могут проникать в пустоты и обломки, чтобы найти выживших быстрее, чем когда-либо прежде, а с добавлением воздушных </w:t>
      </w:r>
      <w:proofErr w:type="spellStart"/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>дронов</w:t>
      </w:r>
      <w:proofErr w:type="spellEnd"/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 xml:space="preserve"> можно охватить большие территории, обеспечивая вид с воздуха в реальном времени для направления спасательных команд на земле.</w:t>
      </w:r>
    </w:p>
    <w:p w:rsidR="00252677" w:rsidRPr="00252677" w:rsidRDefault="00252677" w:rsidP="002526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</w:pPr>
      <w:r w:rsidRPr="00252677">
        <w:rPr>
          <w:rFonts w:ascii="Times New Roman" w:eastAsia="Times New Roman" w:hAnsi="Times New Roman" w:cs="Times New Roman"/>
          <w:noProof/>
          <w:spacing w:val="3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59264" behindDoc="1" locked="0" layoutInCell="1" allowOverlap="1" wp14:anchorId="05B10DA2" wp14:editId="7464A5D6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1365250" cy="2781300"/>
            <wp:effectExtent l="0" t="0" r="6350" b="0"/>
            <wp:wrapTight wrapText="bothSides">
              <wp:wrapPolygon edited="0">
                <wp:start x="0" y="0"/>
                <wp:lineTo x="0" y="21452"/>
                <wp:lineTo x="21399" y="21452"/>
                <wp:lineTo x="21399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26" t="19394" r="66417" b="49614"/>
                    <a:stretch/>
                  </pic:blipFill>
                  <pic:spPr bwMode="auto">
                    <a:xfrm>
                      <a:off x="0" y="0"/>
                      <a:ext cx="1365250" cy="278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 xml:space="preserve">Эти камеры не только ускоряют процесс поиска, но и повышают безопасность спасательных команд. Предоставляя ценную информацию о структурной целостности зданий и потенциальных </w:t>
      </w:r>
      <w:proofErr w:type="gramStart"/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>опасностях</w:t>
      </w:r>
      <w:proofErr w:type="gramEnd"/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>, они помогают предотвратить дальнейшие жертвы как среди выживших, так и среди участников реагирования. Кроме того, данные, собранные этими камерами, могут иметь решающее значение для координации и разработки стратегии спасательных операций, обеспечивая более организованную и эффективную операцию.</w:t>
      </w:r>
    </w:p>
    <w:p w:rsidR="00252677" w:rsidRPr="00252677" w:rsidRDefault="00252677" w:rsidP="002526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</w:pPr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 xml:space="preserve">Острые чувства обученных поисково-спасательных собак делают их неоценимыми партнерами в ликвидации последствий землетрясений. Эти собаки обучены </w:t>
      </w:r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lastRenderedPageBreak/>
        <w:t>улавливать запах людей, даже тех, кто погребен под слоями обломков. Их маневренность и мобильность на сложной местности позволяют им получить доступ к местам, которые могут быть труднодоступны для людей-спасателей или техники.</w:t>
      </w:r>
    </w:p>
    <w:p w:rsidR="00252677" w:rsidRPr="00252677" w:rsidRDefault="00252677" w:rsidP="002526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</w:pPr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>Время имеет решающее значение в спасательных операциях, а поисково-спасательные собаки значительно сокращают время, необходимое для поиска выживших. Их замечательная способность охватывать обширные территории и распознавать специфические запахи ускоряет процесс поиска, увеличивая шансы найти людей, оказавшихся в опасной ситуации.</w:t>
      </w:r>
    </w:p>
    <w:p w:rsidR="00252677" w:rsidRPr="00252677" w:rsidRDefault="00252677" w:rsidP="002526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</w:pPr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>Сочетание поисково-спасательных камер и собак создает синергию, которая максимизирует эффективность реагирования на землетрясения. В то время как камеры обеспечивают технологическое преимущество при обследовании больших территорий и оценке структурных рисков, собаки обладают непревзойденной обонятельной точностью, позволяющей точно определить местонахождение выживших. Вместе они образуют комплексный подход, направленный на решение разнообразных проблем, возникающих в результате сценариев после землетрясения.</w:t>
      </w:r>
    </w:p>
    <w:p w:rsidR="00252677" w:rsidRPr="00252677" w:rsidRDefault="00252677" w:rsidP="002526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</w:pPr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>После землетрясения сотрудничество поисково-спасательных камер и собак является маяком надежды. Интеграция передовых технологий и врожденных способностей дрессированных собак не только ускоряет поиск выживших, но также обеспечивает безопасность спасательных команд и оптимизирует использование ресурсов. По мере того, как мы продолжаем расширять наши возможности в реагировании на стихийные бедствия, признание и использование дополнительных преимуществ поисково-спасательных камер и собак будет по-прежнему иметь решающее значение для спасения жизней и восстановления сообществ.</w:t>
      </w:r>
    </w:p>
    <w:p w:rsidR="00252677" w:rsidRPr="00252677" w:rsidRDefault="00252677" w:rsidP="002526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hyperlink r:id="rId11" w:history="1">
        <w:r w:rsidRPr="00252677">
          <w:rPr>
            <w:rFonts w:ascii="Times New Roman" w:eastAsia="Calibri" w:hAnsi="Times New Roman" w:cs="Times New Roman"/>
            <w:sz w:val="28"/>
            <w:szCs w:val="28"/>
            <w:lang w:eastAsia="ru-RU"/>
          </w:rPr>
          <w:t>www.firstlook.net</w:t>
        </w:r>
      </w:hyperlink>
    </w:p>
    <w:p w:rsidR="00252677" w:rsidRPr="00252677" w:rsidRDefault="00252677" w:rsidP="002526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252677" w:rsidRPr="00252677" w:rsidRDefault="00252677" w:rsidP="00252677">
      <w:pPr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25267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В Федеральный закон «Технический регламент о безопасности зданий и сооружений» внесены изменения</w:t>
      </w:r>
    </w:p>
    <w:p w:rsidR="00252677" w:rsidRPr="00252677" w:rsidRDefault="00252677" w:rsidP="002526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</w:pPr>
      <w:r w:rsidRPr="00252677">
        <w:rPr>
          <w:rFonts w:ascii="Times New Roman" w:eastAsia="Times New Roman" w:hAnsi="Times New Roman" w:cs="Times New Roman"/>
          <w:noProof/>
          <w:spacing w:val="3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63360" behindDoc="1" locked="0" layoutInCell="1" allowOverlap="1" wp14:anchorId="543B0677" wp14:editId="7773E981">
            <wp:simplePos x="0" y="0"/>
            <wp:positionH relativeFrom="column">
              <wp:posOffset>56515</wp:posOffset>
            </wp:positionH>
            <wp:positionV relativeFrom="paragraph">
              <wp:posOffset>635635</wp:posOffset>
            </wp:positionV>
            <wp:extent cx="2235200" cy="1574800"/>
            <wp:effectExtent l="0" t="0" r="0" b="6350"/>
            <wp:wrapTight wrapText="bothSides">
              <wp:wrapPolygon edited="0">
                <wp:start x="0" y="0"/>
                <wp:lineTo x="0" y="21426"/>
                <wp:lineTo x="21355" y="21426"/>
                <wp:lineTo x="21355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88" t="30232" r="31764" b="22614"/>
                    <a:stretch/>
                  </pic:blipFill>
                  <pic:spPr bwMode="auto">
                    <a:xfrm>
                      <a:off x="0" y="0"/>
                      <a:ext cx="2235200" cy="157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 xml:space="preserve">В новом законодательном акте устанавливаются дополнительные требования к безопасности зданий и сооружений. Теперь определены минимально необходимые требования к зданиям и сооружениям, распространяющиеся на все этапы их жизненного цикла. Указанные требования относятся к пожарной безопасности, безопасности в сложных природных и техногенных условиях, безопасных условий проживания и пользования зданиями и сооружениями. Также определены требования </w:t>
      </w:r>
      <w:proofErr w:type="spellStart"/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>энергоэффективности</w:t>
      </w:r>
      <w:proofErr w:type="spellEnd"/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 xml:space="preserve"> и безопасного воздействия на окружающую среду объектов, требования доступности для маломобильных групп населения.</w:t>
      </w:r>
    </w:p>
    <w:p w:rsidR="00252677" w:rsidRPr="00252677" w:rsidRDefault="00252677" w:rsidP="002526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</w:pPr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lastRenderedPageBreak/>
        <w:t>Все здания и сооружения в измененном нормативном правовом акте будут идентифицироваться по уровням ответственности:</w:t>
      </w:r>
    </w:p>
    <w:p w:rsidR="00252677" w:rsidRPr="00252677" w:rsidRDefault="00252677" w:rsidP="002526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</w:pPr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 xml:space="preserve">- </w:t>
      </w:r>
      <w:proofErr w:type="gramStart"/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>повышенный</w:t>
      </w:r>
      <w:proofErr w:type="gramEnd"/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>, к которым относятся особо опасные, технически сложные или уникальные объекты;</w:t>
      </w:r>
    </w:p>
    <w:p w:rsidR="00252677" w:rsidRPr="00252677" w:rsidRDefault="00252677" w:rsidP="002526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</w:pPr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 xml:space="preserve">- </w:t>
      </w:r>
      <w:proofErr w:type="gramStart"/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>пониженный</w:t>
      </w:r>
      <w:proofErr w:type="gramEnd"/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>, куда входят здания и сооружения временного назначения и вспомогательного использования;</w:t>
      </w:r>
    </w:p>
    <w:p w:rsidR="00252677" w:rsidRPr="00252677" w:rsidRDefault="00252677" w:rsidP="002526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</w:pPr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 xml:space="preserve">- </w:t>
      </w:r>
      <w:proofErr w:type="gramStart"/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>нормальный</w:t>
      </w:r>
      <w:proofErr w:type="gramEnd"/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 xml:space="preserve"> – все остальные здания и сооружения.</w:t>
      </w:r>
    </w:p>
    <w:p w:rsidR="00252677" w:rsidRPr="00252677" w:rsidRDefault="00252677" w:rsidP="002526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</w:pPr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>Идентификационные признаки зданий и сооружений должны отражаться в проектной документации на объект.</w:t>
      </w:r>
    </w:p>
    <w:p w:rsidR="00252677" w:rsidRPr="00252677" w:rsidRDefault="00252677" w:rsidP="002526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</w:pPr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>Изменения вступают в силу с 1 сентября 2024 г.</w:t>
      </w:r>
    </w:p>
    <w:p w:rsidR="00252677" w:rsidRPr="00252677" w:rsidRDefault="00252677" w:rsidP="002526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</w:pPr>
      <w:hyperlink r:id="rId13" w:history="1">
        <w:r w:rsidRPr="00252677">
          <w:rPr>
            <w:rFonts w:ascii="Times New Roman" w:eastAsia="Times New Roman" w:hAnsi="Times New Roman" w:cs="Times New Roman"/>
            <w:spacing w:val="3"/>
            <w:sz w:val="28"/>
            <w:szCs w:val="28"/>
            <w:u w:val="single"/>
            <w:bdr w:val="none" w:sz="0" w:space="0" w:color="auto" w:frame="1"/>
            <w:lang w:eastAsia="ru-RU"/>
          </w:rPr>
          <w:t>portal.edufire37.ru</w:t>
        </w:r>
      </w:hyperlink>
    </w:p>
    <w:p w:rsidR="00252677" w:rsidRPr="00252677" w:rsidRDefault="00252677" w:rsidP="002526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</w:pPr>
    </w:p>
    <w:p w:rsidR="00252677" w:rsidRPr="00252677" w:rsidRDefault="00252677" w:rsidP="00252677">
      <w:pPr>
        <w:spacing w:after="160" w:line="259" w:lineRule="auto"/>
        <w:rPr>
          <w:rFonts w:ascii="Times New Roman" w:eastAsia="Times New Roman" w:hAnsi="Times New Roman" w:cs="Times New Roman"/>
          <w:b/>
          <w:spacing w:val="3"/>
          <w:sz w:val="28"/>
          <w:szCs w:val="28"/>
          <w:bdr w:val="none" w:sz="0" w:space="0" w:color="auto" w:frame="1"/>
          <w:lang w:eastAsia="ru-RU"/>
        </w:rPr>
      </w:pPr>
      <w:r w:rsidRPr="00252677">
        <w:rPr>
          <w:rFonts w:ascii="Times New Roman" w:eastAsia="Times New Roman" w:hAnsi="Times New Roman" w:cs="Times New Roman"/>
          <w:b/>
          <w:spacing w:val="3"/>
          <w:sz w:val="28"/>
          <w:szCs w:val="28"/>
          <w:bdr w:val="none" w:sz="0" w:space="0" w:color="auto" w:frame="1"/>
          <w:lang w:eastAsia="ru-RU"/>
        </w:rPr>
        <w:br w:type="page"/>
      </w:r>
    </w:p>
    <w:p w:rsidR="00252677" w:rsidRPr="00252677" w:rsidRDefault="00252677" w:rsidP="00252677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</w:pPr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lastRenderedPageBreak/>
        <w:t>Приложение 1</w:t>
      </w:r>
    </w:p>
    <w:p w:rsidR="00252677" w:rsidRPr="00252677" w:rsidRDefault="00252677" w:rsidP="00252677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</w:pPr>
    </w:p>
    <w:p w:rsidR="00252677" w:rsidRPr="00252677" w:rsidRDefault="00252677" w:rsidP="00252677">
      <w:pPr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proofErr w:type="spellStart"/>
      <w:r w:rsidRPr="0025267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Минобрнауки</w:t>
      </w:r>
      <w:proofErr w:type="spellEnd"/>
      <w:r w:rsidRPr="0025267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объявило конкурс студенческих научных объединений</w:t>
      </w:r>
    </w:p>
    <w:p w:rsidR="00252677" w:rsidRPr="00252677" w:rsidRDefault="00252677" w:rsidP="002526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</w:pPr>
    </w:p>
    <w:p w:rsidR="00252677" w:rsidRPr="00252677" w:rsidRDefault="00252677" w:rsidP="002526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</w:pPr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>Как сообщило ведомство, 40 таких коллективов получат гранты от 1 </w:t>
      </w:r>
      <w:proofErr w:type="gramStart"/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>млн</w:t>
      </w:r>
      <w:proofErr w:type="gramEnd"/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 xml:space="preserve"> до 5 млн рублей.</w:t>
      </w:r>
    </w:p>
    <w:p w:rsidR="00252677" w:rsidRPr="00252677" w:rsidRDefault="00252677" w:rsidP="002526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</w:pPr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> Министерство науки и высшего образования РФ объявило конкурс среди студенческих научных обществ (С</w:t>
      </w:r>
      <w:bookmarkStart w:id="0" w:name="_GoBack"/>
      <w:bookmarkEnd w:id="0"/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>НО). Как сообщает </w:t>
      </w:r>
      <w:proofErr w:type="spellStart"/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fldChar w:fldCharType="begin"/>
      </w:r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instrText xml:space="preserve"> HYPERLINK "https://t.me/minobrnaukiofficial/7317" \t "_blank" </w:instrText>
      </w:r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fldChar w:fldCharType="separate"/>
      </w:r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>Telegram</w:t>
      </w:r>
      <w:proofErr w:type="spellEnd"/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>-канал</w:t>
      </w:r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fldChar w:fldCharType="end"/>
      </w:r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> </w:t>
      </w:r>
      <w:proofErr w:type="spellStart"/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>Минобрнауки</w:t>
      </w:r>
      <w:proofErr w:type="spellEnd"/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 xml:space="preserve"> РФ, 40 таких коллективов получат гранты от 1 </w:t>
      </w:r>
      <w:proofErr w:type="gramStart"/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>млн</w:t>
      </w:r>
      <w:proofErr w:type="gramEnd"/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 xml:space="preserve"> до 5 млн рублей.</w:t>
      </w:r>
    </w:p>
    <w:p w:rsidR="00252677" w:rsidRPr="00252677" w:rsidRDefault="00252677" w:rsidP="002526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</w:pPr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 xml:space="preserve">"Конкурс проводит </w:t>
      </w:r>
      <w:proofErr w:type="spellStart"/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>Минобрнауки</w:t>
      </w:r>
      <w:proofErr w:type="spellEnd"/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 xml:space="preserve"> России. Он направлен на поддержку университетских проектов в сфере науки. Общий объем финансирования - 100 </w:t>
      </w:r>
      <w:proofErr w:type="gramStart"/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>млн</w:t>
      </w:r>
      <w:proofErr w:type="gramEnd"/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 xml:space="preserve"> рублей. Планируется поддержать 40 студенческих коллективов, каждый из которых сможет получить грант сообразно реализуемому проекту", - говорится в сообщении.</w:t>
      </w:r>
    </w:p>
    <w:p w:rsidR="00252677" w:rsidRPr="00252677" w:rsidRDefault="00252677" w:rsidP="002526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</w:pPr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 xml:space="preserve">20 грантов составят до 1 </w:t>
      </w:r>
      <w:proofErr w:type="gramStart"/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>млн</w:t>
      </w:r>
      <w:proofErr w:type="gramEnd"/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 xml:space="preserve"> рублей, 10 - до 3 млн рублей, еще 10 - до 5 млн рублей. Участниками конкурса могут стать вузы, на базе которых созданы СНО. При оценке заявок будут учитываться организационный и исследовательский опыт студенческих коллективов, достижения в сфере молодежной науки и планируемые результаты.</w:t>
      </w:r>
    </w:p>
    <w:p w:rsidR="00252677" w:rsidRPr="00252677" w:rsidRDefault="00252677" w:rsidP="002526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</w:pPr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>Подать заявку можно до 28 февраля включительно на портале предоставления мер финансовой господдержки.</w:t>
      </w:r>
    </w:p>
    <w:p w:rsidR="00252677" w:rsidRPr="00252677" w:rsidRDefault="00252677" w:rsidP="002526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</w:pPr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 xml:space="preserve">"Одна из задач Десятилетия науки и технологий - привлечение талантливой молодежи в сферу исследований и разработок. Конкурс СНО, проводимый министерством уже в третий раз, является одним из инструментов достижения данного результата, системной мерой поддержки будущего отечественной науки", - отметил заместитель министра Денис </w:t>
      </w:r>
      <w:proofErr w:type="spellStart"/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>Секиринский</w:t>
      </w:r>
      <w:proofErr w:type="spellEnd"/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 xml:space="preserve">, чьи слова приводит </w:t>
      </w:r>
      <w:proofErr w:type="spellStart"/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>Telegram</w:t>
      </w:r>
      <w:proofErr w:type="spellEnd"/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>-канал.</w:t>
      </w:r>
    </w:p>
    <w:p w:rsidR="00252677" w:rsidRPr="00252677" w:rsidRDefault="00252677" w:rsidP="00252677">
      <w:pPr>
        <w:spacing w:after="160" w:line="259" w:lineRule="auto"/>
        <w:rPr>
          <w:rFonts w:ascii="Times New Roman" w:eastAsia="Times New Roman" w:hAnsi="Times New Roman" w:cs="Times New Roman"/>
          <w:b/>
          <w:spacing w:val="3"/>
          <w:sz w:val="28"/>
          <w:szCs w:val="28"/>
          <w:bdr w:val="none" w:sz="0" w:space="0" w:color="auto" w:frame="1"/>
          <w:lang w:eastAsia="ru-RU"/>
        </w:rPr>
      </w:pPr>
      <w:r w:rsidRPr="00252677">
        <w:rPr>
          <w:rFonts w:ascii="Times New Roman" w:eastAsia="Times New Roman" w:hAnsi="Times New Roman" w:cs="Times New Roman"/>
          <w:b/>
          <w:spacing w:val="3"/>
          <w:sz w:val="28"/>
          <w:szCs w:val="28"/>
          <w:bdr w:val="none" w:sz="0" w:space="0" w:color="auto" w:frame="1"/>
          <w:lang w:eastAsia="ru-RU"/>
        </w:rPr>
        <w:br w:type="page"/>
      </w:r>
    </w:p>
    <w:p w:rsidR="00252677" w:rsidRPr="00252677" w:rsidRDefault="00252677" w:rsidP="002526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3"/>
          <w:sz w:val="28"/>
          <w:szCs w:val="28"/>
          <w:bdr w:val="none" w:sz="0" w:space="0" w:color="auto" w:frame="1"/>
          <w:lang w:eastAsia="ru-RU"/>
        </w:rPr>
      </w:pPr>
      <w:r w:rsidRPr="00252677">
        <w:rPr>
          <w:rFonts w:ascii="Times New Roman" w:eastAsia="Times New Roman" w:hAnsi="Times New Roman" w:cs="Times New Roman"/>
          <w:b/>
          <w:spacing w:val="3"/>
          <w:sz w:val="28"/>
          <w:szCs w:val="28"/>
          <w:bdr w:val="none" w:sz="0" w:space="0" w:color="auto" w:frame="1"/>
          <w:lang w:eastAsia="ru-RU"/>
        </w:rPr>
        <w:lastRenderedPageBreak/>
        <w:t>Приняты изменения в технический регламент на игрушки</w:t>
      </w:r>
    </w:p>
    <w:p w:rsidR="00252677" w:rsidRPr="00252677" w:rsidRDefault="00252677" w:rsidP="002526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</w:pPr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>Совет Евразийской экономической комиссии утвердил изменения в технический регламент «О безопасности игрушек». Изменения подготовлены Комиссией совместно с государствами Евразийского экономического союза.</w:t>
      </w:r>
    </w:p>
    <w:p w:rsidR="00252677" w:rsidRPr="00252677" w:rsidRDefault="00252677" w:rsidP="002526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</w:pPr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br/>
        <w:t xml:space="preserve">Документ предусматривает установление в </w:t>
      </w:r>
      <w:proofErr w:type="spellStart"/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>терегламенте</w:t>
      </w:r>
      <w:proofErr w:type="spellEnd"/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 xml:space="preserve"> схем и процедур сертификации игрушек на основе типовых схем, утвержденных Решением Совета Комиссии № 44.</w:t>
      </w:r>
    </w:p>
    <w:p w:rsidR="00252677" w:rsidRPr="00252677" w:rsidRDefault="00252677" w:rsidP="002526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</w:pPr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 xml:space="preserve">Учтена практика применения указанного </w:t>
      </w:r>
      <w:proofErr w:type="spellStart"/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>техрегламента</w:t>
      </w:r>
      <w:proofErr w:type="spellEnd"/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 xml:space="preserve">, нормы </w:t>
      </w:r>
      <w:proofErr w:type="spellStart"/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>техрегламента</w:t>
      </w:r>
      <w:proofErr w:type="spellEnd"/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 xml:space="preserve"> приведены в соответствие с Договором о Союзе. Помимо подробно изложенных процедур сертификации, изменения устанавливают методы идентификации игрушек и способы ее проведения, порядок действий заявителя и органа по сертификации при внесении изменений в конструкцию игрушек или технологию их производства. Также предусмотрено хранение комплекта документов по сертификации в электронном виде и обязательный перевод иностранных документов, а также использование в течение года результатов испытаний для последующих партий аналогичной продукции, что улучшит условия ведения предпринимательской деятельности в ЕАЭС.</w:t>
      </w:r>
    </w:p>
    <w:p w:rsidR="00252677" w:rsidRPr="00252677" w:rsidRDefault="00252677" w:rsidP="002526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</w:pPr>
      <w:r w:rsidRPr="00252677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>Реализация изменений гарантирует применение единых процедур оценки соответствия, установленных на основе типовых схем, и сопоставимость результатов проводимой оценки в каждой стране ЕАЭС.</w:t>
      </w:r>
    </w:p>
    <w:p w:rsidR="000579C8" w:rsidRPr="00252677" w:rsidRDefault="000579C8" w:rsidP="00252677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</w:p>
    <w:sectPr w:rsidR="000579C8" w:rsidRPr="002526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730"/>
    <w:rsid w:val="000579C8"/>
    <w:rsid w:val="00252677"/>
    <w:rsid w:val="008D3C30"/>
    <w:rsid w:val="00BF7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uka.tass.ru/nauka/19876793" TargetMode="External"/><Relationship Id="rId13" Type="http://schemas.openxmlformats.org/officeDocument/2006/relationships/hyperlink" Target="https://portal.edufire37.ru/news/209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portal.edufire37.ru/articles/382" TargetMode="External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://www.firstlook.net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1892</Words>
  <Characters>10789</Characters>
  <Application>Microsoft Office Word</Application>
  <DocSecurity>0</DocSecurity>
  <Lines>89</Lines>
  <Paragraphs>25</Paragraphs>
  <ScaleCrop>false</ScaleCrop>
  <Company/>
  <LinksUpToDate>false</LinksUpToDate>
  <CharactersWithSpaces>12656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Воронович Виталий</dc:creator>
  <cp:keywords/>
  <dc:description/>
  <cp:lastModifiedBy>Воронович Виталий</cp:lastModifiedBy>
  <cp:revision>2</cp:revision>
  <dcterms:created xsi:type="dcterms:W3CDTF">2024-02-07T13:07:00Z</dcterms:created>
  <dcterms:modified xsi:type="dcterms:W3CDTF">2024-02-07T13:09:00Z</dcterms:modified>
</cp:coreProperties>
</file>