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A68" w:rsidRPr="00823012" w:rsidRDefault="00796A68" w:rsidP="00796A6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230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НАУКА И ТЕХНОЛОГИИ</w:t>
      </w:r>
    </w:p>
    <w:p w:rsidR="00796A68" w:rsidRPr="00823012" w:rsidRDefault="00796A68" w:rsidP="00796A6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6A68" w:rsidRPr="00823012" w:rsidRDefault="00796A68" w:rsidP="00796A6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230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Солнечные панели: новые элементы могут снизить стоимость в 4 раза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i/>
          <w:noProof/>
          <w:spacing w:val="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1C631085" wp14:editId="1F7D7970">
            <wp:simplePos x="0" y="0"/>
            <wp:positionH relativeFrom="column">
              <wp:posOffset>9525</wp:posOffset>
            </wp:positionH>
            <wp:positionV relativeFrom="paragraph">
              <wp:posOffset>1599565</wp:posOffset>
            </wp:positionV>
            <wp:extent cx="277177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26" y="21294"/>
                <wp:lineTo x="21526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1" t="22757" r="38921" b="26039"/>
                    <a:stretch/>
                  </pic:blipFill>
                  <pic:spPr bwMode="auto">
                    <a:xfrm>
                      <a:off x="0" y="0"/>
                      <a:ext cx="2771775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Исследователи разработали молекулярные добавки, позволяющие продлить срок службы </w:t>
      </w:r>
      <w:proofErr w:type="spellStart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>перовскитовых</w:t>
      </w:r>
      <w:proofErr w:type="spellEnd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 солнечных элементов и снизить их стоимость в четыре раза по сравнению с современными тонкопленочными солнечными элементами. Эти добавки, известные как "</w:t>
      </w:r>
      <w:proofErr w:type="spellStart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>пассиваторы</w:t>
      </w:r>
      <w:proofErr w:type="spellEnd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 дефектов", значительно замедляют деградацию полупроводниковых пленок перовскита. Это может помочь повысить долговечность фотоэлектрических панелей и одновременно увеличить их конкурентоспособность на рынке энергетических технологий. 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В связи с тем, что мир стремится к углеродной нейтральности, спрос на «зеленые» энергетические технологии постоянно растет. Среди наиболее широко используемых — фотоэлектрические панели, которые, как ожидается, к 2050 году будут производить 4 500 гигаватт-часов энергии по всему миру.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Большинство фотоэлектрических панелей, представленных на рынке в настоящее время, состоят из кристаллических кремниевых солнечных элементов. Однако «кремниевые солнечные элементы превосходны, потому что они очень эффективны и могут служить очень долго, но их производство очень дорого», — говорит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Сивен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Гонг из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Мичиганского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университета. Ведь «для производства кремния высокой чистоты необходимы температуры выше 1000°C. В противном случае эффективность будет низкой», — добавляет он. Это влечет за собой значительные финансовые и экологические издержки. Для преодоления этих проблем в настоящее время изучаются альтернативные фотоэлектрические материалы, такие как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металлогалогенные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перовскиты (подгруппа органических и неорганических гибридных перовскитов, содержащих галогенные ионы, такие как йодид или бромид), благодаря их лучшему соотношению цены и качества. В частности, эти материалы обладают превосходными оптическими и электрическими свойствами, а их производство обходится примерно в два раза дешевле, чем производство кристаллических кремниевых полупроводников. Кроме того, их можно комбинировать с полупроводниками на основе кремния, что позволит превысить максимальную теоретическую эффективность кремниевых солнечных батарей. Однако срок службы существующих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перовскитных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материалов слишком ограничен, чтобы быть коммерчески конкурентоспособным для применения в солнечных батареях. Более того, эти материалы особенно подвержены деградации под воздействием условий окружающей среды, которым обычно подвергаются солнечные </w:t>
      </w: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lastRenderedPageBreak/>
        <w:t xml:space="preserve">батареи (тепло, влажность, обратная поляризация). В своем новом исследовании, опубликованном в журнале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Matter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, Гонг и его коллеги попытались разработать более устойчивые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металлогалогенные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перовскитовые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солнечные элементы. Полученные ими результаты свидетельствуют о том, что добавление в перовскиты молекул, «устраняющих дефекты», может повысить их стабильность и срок службы. Другими словами, исследование предоставляет ключевую информацию для предотвращения деградации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перовскитовых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полупроводников. Исследователи также считают, что это потенциально может привести к созданию новых солнечных батарей в 2-4 раза дешевле, чем нынешние тонкопленочные солнечные элементы.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Перовскитовые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материалы более </w:t>
      </w:r>
      <w:proofErr w:type="gram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устойчивы к деградации Дефекты в кристаллах перовскита связаны</w:t>
      </w:r>
      <w:proofErr w:type="gram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с наличием атомов свинца, которые не полностью связаны с другими элементами, из которых они состоят. Эти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недокоординированные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участки приводят к разрывам в кристаллической решетке, препятствуя движению электронов внутри нее и ускоряя деградацию материала.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noProof/>
          <w:spacing w:val="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2BA87D3A" wp14:editId="79D8F51B">
            <wp:simplePos x="0" y="0"/>
            <wp:positionH relativeFrom="column">
              <wp:posOffset>-27940</wp:posOffset>
            </wp:positionH>
            <wp:positionV relativeFrom="paragraph">
              <wp:posOffset>1009650</wp:posOffset>
            </wp:positionV>
            <wp:extent cx="4474210" cy="2112645"/>
            <wp:effectExtent l="0" t="0" r="2540" b="1905"/>
            <wp:wrapTight wrapText="bothSides">
              <wp:wrapPolygon edited="0">
                <wp:start x="0" y="0"/>
                <wp:lineTo x="0" y="21425"/>
                <wp:lineTo x="21520" y="21425"/>
                <wp:lineTo x="2152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3" t="31729" r="37565" b="28665"/>
                    <a:stretch/>
                  </pic:blipFill>
                  <pic:spPr bwMode="auto">
                    <a:xfrm>
                      <a:off x="0" y="0"/>
                      <a:ext cx="4474210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Предыдущие исследования показали, что можно уменьшить эти дефекты, введя в состав молекул «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пассивирующие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» молекулы, которые блокируют субординированные связи. Пассивация — это состояние металла или сплава, при котором скорость его коррозии значительно замедляется. Таким образом,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пассивирующие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добавки предотвращают образование других дефектов (и, следовательно, деградацию) под воздействием таких раздражителей, как тепло. Однако каким именно образом эти молекулы могут способствовать устойчивости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перовскитовых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полупроводников, было недостаточно ясно. «Мы хотели определить, какие именно характеристики молекул повышают стабильность перовскита», — объясняет ведущий автор нового исследования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Хонки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Ким из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Мичиганского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университета. Для этого команда разработала </w:t>
      </w:r>
      <w:proofErr w:type="gram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три молекулярные</w:t>
      </w:r>
      <w:proofErr w:type="gram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добавки, содержащие одни и те же химические элементы, но отличающиеся по форме, размеру, весу и конфигурации. Затем они были добавлены в тонкие пленки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металлогалогенного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перовскита, чтобы измерить силу сцепления с ними. Этот параметр определяет скорость образования дефектов в материале.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Было обнаружено, что более массивные молекулы лучше прилипают к материалу, поскольку у них больше мест связывания, которые могут взаимодействовать с кристаллами перовскита. Это означает, что они </w:t>
      </w: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lastRenderedPageBreak/>
        <w:t xml:space="preserve">способны ослаблять дефекты и предотвращать деградацию. Кроме того, крупные молекулы приводят к образованию более крупных зерен перовскита, повышая тем самым прочность материала. Нагрев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перовскитовые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пленки с добавками до 200 °C, исследователи смогли подтвердить, что более крупные молекулы способствовали лучшему сохранению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грифельно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-черного цвета, что свидетельствует о меньшем количестве структурных дефектов в солнечных элементах. «Размер и конфигурация важны при разработке добавок, и мы считаем, что эта философия дизайна может быть реализована в различных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перовскитных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составах для дальнейшего улучшения срока службы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перовскитных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солнечных элементов, электролюминесцентных устройств и фотоприемников», — говорит соавтор исследования Карлос Алехандро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Фигероа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Моралес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, также из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Мичиганского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университета. Кроме того, результаты исследования позволят создать основу для систематического определения лучших добавок для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перовскитовых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солнечных элементов, что поможет сэкономить значительное время на исследования.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hyperlink r:id="rId7" w:history="1">
        <w:r w:rsidRPr="00823012">
          <w:rPr>
            <w:rFonts w:ascii="Times New Roman" w:eastAsia="Times New Roman" w:hAnsi="Times New Roman" w:cs="Times New Roman"/>
            <w:spacing w:val="3"/>
            <w:sz w:val="28"/>
            <w:szCs w:val="28"/>
            <w:bdr w:val="none" w:sz="0" w:space="0" w:color="auto" w:frame="1"/>
            <w:lang w:eastAsia="ru-RU"/>
          </w:rPr>
          <w:t>new-science.ru</w:t>
        </w:r>
      </w:hyperlink>
    </w:p>
    <w:p w:rsidR="00796A68" w:rsidRDefault="00796A68" w:rsidP="00796A6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96A68" w:rsidRPr="00823012" w:rsidRDefault="00796A68" w:rsidP="00796A6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230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Выставка </w:t>
      </w:r>
      <w:proofErr w:type="spellStart"/>
      <w:r w:rsidRPr="008230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Intersec</w:t>
      </w:r>
      <w:proofErr w:type="spellEnd"/>
      <w:r w:rsidRPr="008230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2024 будет способствовать развитию инноваций в пожарно-спасательной сфере в ОАЭ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Гражданская оборона Дубая сотрудничает с </w:t>
      </w:r>
      <w:proofErr w:type="spellStart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>Intersec</w:t>
      </w:r>
      <w:proofErr w:type="spellEnd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 2024 для продвижения инноваций в пожарно-спасательной сфере в ОАЭ.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i/>
          <w:noProof/>
          <w:spacing w:val="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13400140" wp14:editId="197CB212">
            <wp:simplePos x="0" y="0"/>
            <wp:positionH relativeFrom="column">
              <wp:posOffset>60325</wp:posOffset>
            </wp:positionH>
            <wp:positionV relativeFrom="paragraph">
              <wp:posOffset>169545</wp:posOffset>
            </wp:positionV>
            <wp:extent cx="261112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432" y="21242"/>
                <wp:lineTo x="2143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3" t="30416" r="45575" b="35667"/>
                    <a:stretch/>
                  </pic:blipFill>
                  <pic:spPr bwMode="auto">
                    <a:xfrm>
                      <a:off x="0" y="0"/>
                      <a:ext cx="261112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На конференции </w:t>
      </w:r>
      <w:proofErr w:type="spellStart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>Intersec</w:t>
      </w:r>
      <w:proofErr w:type="spellEnd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 2024 </w:t>
      </w:r>
      <w:proofErr w:type="spellStart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>Fire</w:t>
      </w:r>
      <w:proofErr w:type="spellEnd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 &amp; </w:t>
      </w:r>
      <w:proofErr w:type="spellStart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>Rescue</w:t>
      </w:r>
      <w:proofErr w:type="spellEnd"/>
      <w:r w:rsidRPr="00823012">
        <w:rPr>
          <w:rFonts w:ascii="Times New Roman" w:eastAsia="Times New Roman" w:hAnsi="Times New Roman" w:cs="Times New Roman"/>
          <w:i/>
          <w:spacing w:val="3"/>
          <w:sz w:val="28"/>
          <w:szCs w:val="28"/>
          <w:bdr w:val="none" w:sz="0" w:space="0" w:color="auto" w:frame="1"/>
          <w:lang w:eastAsia="ru-RU"/>
        </w:rPr>
        <w:t xml:space="preserve"> рассмотрены актуальные для отрасли темы о последних разработках, имеющих решающее значение для продвижения противопожарной защиты и безопасности во всем мире.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hyperlink r:id="rId9" w:history="1">
        <w:r w:rsidRPr="00823012">
          <w:rPr>
            <w:rFonts w:ascii="Times New Roman" w:eastAsia="Times New Roman" w:hAnsi="Times New Roman" w:cs="Times New Roman"/>
            <w:spacing w:val="3"/>
            <w:sz w:val="28"/>
            <w:szCs w:val="28"/>
            <w:bdr w:val="none" w:sz="0" w:space="0" w:color="auto" w:frame="1"/>
            <w:lang w:eastAsia="ru-RU"/>
          </w:rPr>
          <w:t xml:space="preserve">Выставка </w:t>
        </w:r>
        <w:proofErr w:type="spellStart"/>
        <w:r w:rsidRPr="00823012">
          <w:rPr>
            <w:rFonts w:ascii="Times New Roman" w:eastAsia="Times New Roman" w:hAnsi="Times New Roman" w:cs="Times New Roman"/>
            <w:spacing w:val="3"/>
            <w:sz w:val="28"/>
            <w:szCs w:val="28"/>
            <w:bdr w:val="none" w:sz="0" w:space="0" w:color="auto" w:frame="1"/>
            <w:lang w:eastAsia="ru-RU"/>
          </w:rPr>
          <w:t>Intersec</w:t>
        </w:r>
        <w:proofErr w:type="spellEnd"/>
        <w:r w:rsidRPr="00823012">
          <w:rPr>
            <w:rFonts w:ascii="Times New Roman" w:eastAsia="Times New Roman" w:hAnsi="Times New Roman" w:cs="Times New Roman"/>
            <w:spacing w:val="3"/>
            <w:sz w:val="28"/>
            <w:szCs w:val="28"/>
            <w:bdr w:val="none" w:sz="0" w:space="0" w:color="auto" w:frame="1"/>
            <w:lang w:eastAsia="ru-RU"/>
          </w:rPr>
          <w:t xml:space="preserve"> 2024</w:t>
        </w:r>
      </w:hyperlink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 прошла с 16 по 18 января во Всемирном торговом центре Дубая (DWTC) под патронажем шейха Мансура бен Мохаммеда бин Рашида Аль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Мактума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По данным 6Wresearch, прогнозируется, что размер рынка систем и оборудования пожарной безопасности в ОАЭ будет расти в среднем на 2,0% в течение 2020–2026 годов. Увеличение инвестиций в промышленный сектор с целью диверсификации экономики, а также текущие проекты социальной инфраструктуры, такие как UAE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Vision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2021,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Maritime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Vision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2030 и Промышленная стратегия Дубая до 2030 года повысят спрос на системы и оборудование пожарной безопасности в ОАЭ в ближайшие годы.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Помимо выставки, </w:t>
      </w:r>
      <w:proofErr w:type="spellStart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instrText xml:space="preserve"> HYPERLINK "https://intersec.ae.messefrankfurt.com/dubai/en.html" \t "_blank" </w:instrText>
      </w: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Intersec</w:t>
      </w:r>
      <w:proofErr w:type="spellEnd"/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2024</w:t>
      </w: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end"/>
      </w:r>
      <w:r w:rsidRPr="00823012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 предлагает обмен богатым опытом в рамках конференц-программы. В данном обмене опытом приняло участие более 400 экспонентов в пяти залах DWTC. </w:t>
      </w:r>
    </w:p>
    <w:p w:rsidR="00796A68" w:rsidRPr="00823012" w:rsidRDefault="00796A68" w:rsidP="00796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hyperlink r:id="rId10" w:history="1">
        <w:r w:rsidRPr="00823012">
          <w:rPr>
            <w:rFonts w:ascii="Times New Roman" w:eastAsia="Times New Roman" w:hAnsi="Times New Roman" w:cs="Times New Roman"/>
            <w:spacing w:val="3"/>
            <w:sz w:val="28"/>
            <w:szCs w:val="28"/>
            <w:bdr w:val="none" w:sz="0" w:space="0" w:color="auto" w:frame="1"/>
            <w:lang w:eastAsia="ru-RU"/>
          </w:rPr>
          <w:t>fireproductsearch.com</w:t>
        </w:r>
      </w:hyperlink>
    </w:p>
    <w:p w:rsidR="00796A68" w:rsidRDefault="00796A68" w:rsidP="00796A68">
      <w:pPr>
        <w:ind w:firstLine="709"/>
        <w:jc w:val="both"/>
        <w:rPr>
          <w:sz w:val="28"/>
          <w:szCs w:val="28"/>
        </w:rPr>
      </w:pPr>
    </w:p>
    <w:p w:rsidR="00796A68" w:rsidRPr="00DE58AA" w:rsidRDefault="00796A68" w:rsidP="00796A6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Российскими учеными создан легкий и прочный композит на основе алюминия</w:t>
      </w:r>
    </w:p>
    <w:p w:rsidR="00796A68" w:rsidRPr="00DE58AA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spacing w:val="3"/>
          <w:sz w:val="28"/>
          <w:szCs w:val="28"/>
          <w:bdr w:val="none" w:sz="0" w:space="0" w:color="auto" w:frame="1"/>
        </w:rPr>
      </w:pPr>
      <w:r w:rsidRPr="00DE58AA">
        <w:rPr>
          <w:i/>
          <w:spacing w:val="3"/>
          <w:sz w:val="28"/>
          <w:szCs w:val="28"/>
          <w:bdr w:val="none" w:sz="0" w:space="0" w:color="auto" w:frame="1"/>
        </w:rPr>
        <w:t>Российские ученые из НИТУ МИСИС объявили о создании весьма перспективного композитного материала, который по своей прочности сравним со сталью, но втрое меньше весит, а по пластичности значительно обходит другие подобные решения.</w:t>
      </w:r>
    </w:p>
    <w:p w:rsidR="00796A68" w:rsidRPr="00DE58AA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spacing w:val="3"/>
          <w:sz w:val="28"/>
          <w:szCs w:val="28"/>
          <w:bdr w:val="none" w:sz="0" w:space="0" w:color="auto" w:frame="1"/>
        </w:rPr>
      </w:pPr>
      <w:r w:rsidRPr="00DE58AA">
        <w:rPr>
          <w:i/>
          <w:noProof/>
          <w:spacing w:val="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5FC80A65" wp14:editId="1843A4D4">
            <wp:simplePos x="0" y="0"/>
            <wp:positionH relativeFrom="column">
              <wp:posOffset>-78105</wp:posOffset>
            </wp:positionH>
            <wp:positionV relativeFrom="paragraph">
              <wp:posOffset>76835</wp:posOffset>
            </wp:positionV>
            <wp:extent cx="2566035" cy="1520825"/>
            <wp:effectExtent l="0" t="0" r="5715" b="3175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2" t="37418" r="40835" b="25472"/>
                    <a:stretch/>
                  </pic:blipFill>
                  <pic:spPr bwMode="auto">
                    <a:xfrm>
                      <a:off x="0" y="0"/>
                      <a:ext cx="2566035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58AA">
        <w:rPr>
          <w:i/>
          <w:spacing w:val="3"/>
          <w:sz w:val="28"/>
          <w:szCs w:val="28"/>
          <w:bdr w:val="none" w:sz="0" w:space="0" w:color="auto" w:frame="1"/>
        </w:rPr>
        <w:t xml:space="preserve">Более того, созданный композит, в отличие от известных </w:t>
      </w:r>
      <w:proofErr w:type="spellStart"/>
      <w:r w:rsidRPr="00DE58AA">
        <w:rPr>
          <w:i/>
          <w:spacing w:val="3"/>
          <w:sz w:val="28"/>
          <w:szCs w:val="28"/>
          <w:bdr w:val="none" w:sz="0" w:space="0" w:color="auto" w:frame="1"/>
        </w:rPr>
        <w:t>металломатричных</w:t>
      </w:r>
      <w:proofErr w:type="spellEnd"/>
      <w:r w:rsidRPr="00DE58AA">
        <w:rPr>
          <w:i/>
          <w:spacing w:val="3"/>
          <w:sz w:val="28"/>
          <w:szCs w:val="28"/>
          <w:bdr w:val="none" w:sz="0" w:space="0" w:color="auto" w:frame="1"/>
        </w:rPr>
        <w:t xml:space="preserve"> композиционных и высокопрочных материалов, не </w:t>
      </w:r>
      <w:proofErr w:type="gramStart"/>
      <w:r w:rsidRPr="00DE58AA">
        <w:rPr>
          <w:i/>
          <w:spacing w:val="3"/>
          <w:sz w:val="28"/>
          <w:szCs w:val="28"/>
          <w:bdr w:val="none" w:sz="0" w:space="0" w:color="auto" w:frame="1"/>
        </w:rPr>
        <w:t>теряет своих механических свойств даже нагреваясь</w:t>
      </w:r>
      <w:proofErr w:type="gramEnd"/>
      <w:r w:rsidRPr="00DE58AA">
        <w:rPr>
          <w:i/>
          <w:spacing w:val="3"/>
          <w:sz w:val="28"/>
          <w:szCs w:val="28"/>
          <w:bdr w:val="none" w:sz="0" w:space="0" w:color="auto" w:frame="1"/>
        </w:rPr>
        <w:t xml:space="preserve"> до 500°C.</w:t>
      </w:r>
    </w:p>
    <w:p w:rsidR="00796A68" w:rsidRPr="00DE58AA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pacing w:val="3"/>
          <w:sz w:val="28"/>
          <w:szCs w:val="28"/>
          <w:bdr w:val="none" w:sz="0" w:space="0" w:color="auto" w:frame="1"/>
        </w:rPr>
      </w:pPr>
      <w:r w:rsidRPr="00DE58AA">
        <w:rPr>
          <w:spacing w:val="3"/>
          <w:sz w:val="28"/>
          <w:szCs w:val="28"/>
          <w:bdr w:val="none" w:sz="0" w:space="0" w:color="auto" w:frame="1"/>
        </w:rPr>
        <w:t xml:space="preserve">В основе российской разработки, </w:t>
      </w:r>
      <w:proofErr w:type="gramStart"/>
      <w:r w:rsidRPr="00DE58AA">
        <w:rPr>
          <w:spacing w:val="3"/>
          <w:sz w:val="28"/>
          <w:szCs w:val="28"/>
          <w:bdr w:val="none" w:sz="0" w:space="0" w:color="auto" w:frame="1"/>
        </w:rPr>
        <w:t>которая</w:t>
      </w:r>
      <w:proofErr w:type="gramEnd"/>
      <w:r w:rsidRPr="00DE58AA">
        <w:rPr>
          <w:spacing w:val="3"/>
          <w:sz w:val="28"/>
          <w:szCs w:val="28"/>
          <w:bdr w:val="none" w:sz="0" w:space="0" w:color="auto" w:frame="1"/>
        </w:rPr>
        <w:t xml:space="preserve"> по сути является сложным структурированным материалом, лежат два компонента — это зерна алюминия в микронных и даже субмикронных размерах и «каркас», для создания которого используется оксид алюминия с металлическим алюминием.</w:t>
      </w:r>
    </w:p>
    <w:p w:rsidR="00796A68" w:rsidRPr="00DE58AA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pacing w:val="3"/>
          <w:sz w:val="28"/>
          <w:szCs w:val="28"/>
          <w:bdr w:val="none" w:sz="0" w:space="0" w:color="auto" w:frame="1"/>
        </w:rPr>
      </w:pPr>
      <w:r w:rsidRPr="00DE58AA">
        <w:rPr>
          <w:spacing w:val="3"/>
          <w:sz w:val="28"/>
          <w:szCs w:val="28"/>
          <w:bdr w:val="none" w:sz="0" w:space="0" w:color="auto" w:frame="1"/>
        </w:rPr>
        <w:t>Ученые из НИТУ МИСИС уже изучили ряд разных по составу композитов, среди которых по термомеханическим свойствам наиболее интересен вариант с содержанием 3 % окиси алюминия. Он наиболее похож на сталь по прочности после нагрева до больших температур, так как имеет необычную «сдвоенную» структуру.</w:t>
      </w:r>
    </w:p>
    <w:p w:rsidR="00796A68" w:rsidRPr="00DE58AA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spacing w:val="3"/>
          <w:sz w:val="28"/>
          <w:szCs w:val="28"/>
          <w:bdr w:val="none" w:sz="0" w:space="0" w:color="auto" w:frame="1"/>
        </w:rPr>
      </w:pPr>
      <w:r w:rsidRPr="00DE58AA">
        <w:rPr>
          <w:i/>
          <w:spacing w:val="3"/>
          <w:sz w:val="28"/>
          <w:szCs w:val="28"/>
          <w:bdr w:val="none" w:sz="0" w:space="0" w:color="auto" w:frame="1"/>
        </w:rPr>
        <w:t xml:space="preserve">Все особенности данного композита позволят ему решать большой перечень </w:t>
      </w:r>
      <w:proofErr w:type="gramStart"/>
      <w:r w:rsidRPr="00DE58AA">
        <w:rPr>
          <w:i/>
          <w:spacing w:val="3"/>
          <w:sz w:val="28"/>
          <w:szCs w:val="28"/>
          <w:bdr w:val="none" w:sz="0" w:space="0" w:color="auto" w:frame="1"/>
        </w:rPr>
        <w:t>задач</w:t>
      </w:r>
      <w:proofErr w:type="gramEnd"/>
      <w:r w:rsidRPr="00DE58AA">
        <w:rPr>
          <w:i/>
          <w:spacing w:val="3"/>
          <w:sz w:val="28"/>
          <w:szCs w:val="28"/>
          <w:bdr w:val="none" w:sz="0" w:space="0" w:color="auto" w:frame="1"/>
        </w:rPr>
        <w:t xml:space="preserve"> как в науке, так и в промышленности. К примеру, материал идеально подойдет для автомобильной промышленности и авиастроения для уменьшения веса элементов и частей, подвергающихся сильным механическим, а также тепловым нагрузкам.</w:t>
      </w:r>
    </w:p>
    <w:p w:rsidR="00796A68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pacing w:val="3"/>
          <w:sz w:val="28"/>
          <w:szCs w:val="28"/>
          <w:bdr w:val="none" w:sz="0" w:space="0" w:color="auto" w:frame="1"/>
        </w:rPr>
      </w:pPr>
      <w:hyperlink r:id="rId12" w:history="1">
        <w:r w:rsidRPr="00DE58AA">
          <w:rPr>
            <w:spacing w:val="3"/>
            <w:sz w:val="28"/>
            <w:szCs w:val="28"/>
            <w:bdr w:val="none" w:sz="0" w:space="0" w:color="auto" w:frame="1"/>
          </w:rPr>
          <w:t>techcult.ru</w:t>
        </w:r>
      </w:hyperlink>
    </w:p>
    <w:p w:rsidR="00796A68" w:rsidRPr="00DE58AA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pacing w:val="3"/>
          <w:sz w:val="28"/>
          <w:szCs w:val="28"/>
          <w:bdr w:val="none" w:sz="0" w:space="0" w:color="auto" w:frame="1"/>
        </w:rPr>
      </w:pPr>
    </w:p>
    <w:p w:rsidR="00796A68" w:rsidRPr="00DE58AA" w:rsidRDefault="00796A68" w:rsidP="00796A6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 Санкт-Петербурге запустят производство </w:t>
      </w:r>
      <w:proofErr w:type="gramStart"/>
      <w:r w:rsidRPr="00DE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противопожарных</w:t>
      </w:r>
      <w:proofErr w:type="gramEnd"/>
      <w:r w:rsidRPr="00DE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DE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дронов</w:t>
      </w:r>
      <w:proofErr w:type="spellEnd"/>
    </w:p>
    <w:p w:rsidR="00796A68" w:rsidRPr="00E15F49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1DE6">
        <w:rPr>
          <w:i/>
          <w:noProof/>
        </w:rPr>
        <w:drawing>
          <wp:anchor distT="0" distB="0" distL="114300" distR="114300" simplePos="0" relativeHeight="251663360" behindDoc="1" locked="0" layoutInCell="1" allowOverlap="1" wp14:anchorId="76170E36" wp14:editId="6D892C78">
            <wp:simplePos x="0" y="0"/>
            <wp:positionH relativeFrom="column">
              <wp:posOffset>53340</wp:posOffset>
            </wp:positionH>
            <wp:positionV relativeFrom="paragraph">
              <wp:posOffset>749935</wp:posOffset>
            </wp:positionV>
            <wp:extent cx="251587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26" y="21214"/>
                <wp:lineTo x="21426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2" t="37635" r="40771" b="25165"/>
                    <a:stretch/>
                  </pic:blipFill>
                  <pic:spPr bwMode="auto">
                    <a:xfrm>
                      <a:off x="0" y="0"/>
                      <a:ext cx="251587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1DE6">
        <w:rPr>
          <w:i/>
          <w:sz w:val="28"/>
          <w:szCs w:val="28"/>
        </w:rPr>
        <w:t xml:space="preserve">В следующем году в Санкт-Петербурге собираются запустить первое в стране производство БПЛА, </w:t>
      </w:r>
      <w:proofErr w:type="gramStart"/>
      <w:r w:rsidRPr="00331DE6">
        <w:rPr>
          <w:i/>
          <w:sz w:val="28"/>
          <w:szCs w:val="28"/>
        </w:rPr>
        <w:t>предназначенных</w:t>
      </w:r>
      <w:proofErr w:type="gramEnd"/>
      <w:r w:rsidRPr="00331DE6">
        <w:rPr>
          <w:i/>
          <w:sz w:val="28"/>
          <w:szCs w:val="28"/>
        </w:rPr>
        <w:t xml:space="preserve"> для борьбы с пожарами.</w:t>
      </w:r>
      <w:r w:rsidRPr="00E15F49">
        <w:rPr>
          <w:sz w:val="28"/>
          <w:szCs w:val="28"/>
        </w:rPr>
        <w:t xml:space="preserve"> Вернее, конструкторское бюро будет размещено в технопарке, расположенном в Центральном районе города, а испытательные и производственные мощности располагаются в Ленинградской области.</w:t>
      </w:r>
    </w:p>
    <w:p w:rsidR="00796A68" w:rsidRPr="00331DE6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E15F49">
        <w:rPr>
          <w:sz w:val="28"/>
          <w:szCs w:val="28"/>
        </w:rPr>
        <w:t>По словам топ-менеджера «</w:t>
      </w:r>
      <w:proofErr w:type="spellStart"/>
      <w:r w:rsidRPr="00E15F49">
        <w:rPr>
          <w:sz w:val="28"/>
          <w:szCs w:val="28"/>
        </w:rPr>
        <w:t>Инфинтеха</w:t>
      </w:r>
      <w:proofErr w:type="spellEnd"/>
      <w:r w:rsidRPr="00E15F49">
        <w:rPr>
          <w:sz w:val="28"/>
          <w:szCs w:val="28"/>
        </w:rPr>
        <w:t xml:space="preserve">» Никиты Донцова, компания сосредоточится на производстве </w:t>
      </w:r>
      <w:proofErr w:type="spellStart"/>
      <w:r w:rsidRPr="00E15F49">
        <w:rPr>
          <w:sz w:val="28"/>
          <w:szCs w:val="28"/>
        </w:rPr>
        <w:t>дронов</w:t>
      </w:r>
      <w:proofErr w:type="spellEnd"/>
      <w:r w:rsidRPr="00E15F49">
        <w:rPr>
          <w:sz w:val="28"/>
          <w:szCs w:val="28"/>
        </w:rPr>
        <w:t xml:space="preserve"> гражданского назначения, включая </w:t>
      </w:r>
      <w:proofErr w:type="spellStart"/>
      <w:r w:rsidRPr="00E15F49">
        <w:rPr>
          <w:sz w:val="28"/>
          <w:szCs w:val="28"/>
        </w:rPr>
        <w:t>беспилотники</w:t>
      </w:r>
      <w:proofErr w:type="spellEnd"/>
      <w:r w:rsidRPr="00E15F49">
        <w:rPr>
          <w:sz w:val="28"/>
          <w:szCs w:val="28"/>
        </w:rPr>
        <w:t xml:space="preserve">, оснащенные средствами пожаротушения. </w:t>
      </w:r>
      <w:r w:rsidRPr="00331DE6">
        <w:rPr>
          <w:i/>
          <w:sz w:val="28"/>
          <w:szCs w:val="28"/>
        </w:rPr>
        <w:t xml:space="preserve">Такие аппараты наверняка будут пользоваться большим спросом — в том же Петербурге </w:t>
      </w:r>
      <w:r w:rsidRPr="00331DE6">
        <w:rPr>
          <w:i/>
          <w:sz w:val="28"/>
          <w:szCs w:val="28"/>
        </w:rPr>
        <w:lastRenderedPageBreak/>
        <w:t>строится все больше высотных зданий, а тушение пожаров выше 12 этажа является довольно проблематичной процедурой.</w:t>
      </w:r>
    </w:p>
    <w:p w:rsidR="00796A68" w:rsidRPr="00E15F49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1DE6">
        <w:rPr>
          <w:i/>
          <w:sz w:val="28"/>
          <w:szCs w:val="28"/>
        </w:rPr>
        <w:t>При этом указанные БПЛА будут иметь на борту четыре фугасные бомбы, с помощью которых будут разбиваться окна, после чего к очагу огня будет сбрасываться и активироваться порошковый огнетушитель.</w:t>
      </w:r>
      <w:r w:rsidRPr="00E15F49">
        <w:rPr>
          <w:sz w:val="28"/>
          <w:szCs w:val="28"/>
        </w:rPr>
        <w:t xml:space="preserve"> Помимо этого специалисты «</w:t>
      </w:r>
      <w:proofErr w:type="spellStart"/>
      <w:r w:rsidRPr="00E15F49">
        <w:rPr>
          <w:sz w:val="28"/>
          <w:szCs w:val="28"/>
        </w:rPr>
        <w:t>Инфинтеха</w:t>
      </w:r>
      <w:proofErr w:type="spellEnd"/>
      <w:r w:rsidRPr="00E15F49">
        <w:rPr>
          <w:sz w:val="28"/>
          <w:szCs w:val="28"/>
        </w:rPr>
        <w:t xml:space="preserve">» подготовили еще одну модель противопожарного </w:t>
      </w:r>
      <w:proofErr w:type="spellStart"/>
      <w:r w:rsidRPr="00E15F49">
        <w:rPr>
          <w:sz w:val="28"/>
          <w:szCs w:val="28"/>
        </w:rPr>
        <w:t>дрона</w:t>
      </w:r>
      <w:proofErr w:type="spellEnd"/>
      <w:r w:rsidRPr="00E15F49">
        <w:rPr>
          <w:sz w:val="28"/>
          <w:szCs w:val="28"/>
        </w:rPr>
        <w:t xml:space="preserve">, </w:t>
      </w:r>
      <w:proofErr w:type="gramStart"/>
      <w:r w:rsidRPr="00E15F49">
        <w:rPr>
          <w:sz w:val="28"/>
          <w:szCs w:val="28"/>
        </w:rPr>
        <w:t>который</w:t>
      </w:r>
      <w:proofErr w:type="gramEnd"/>
      <w:r w:rsidRPr="00E15F49">
        <w:rPr>
          <w:sz w:val="28"/>
          <w:szCs w:val="28"/>
        </w:rPr>
        <w:t xml:space="preserve"> укомплектуют бомбой с водной основой.</w:t>
      </w:r>
    </w:p>
    <w:p w:rsidR="00796A68" w:rsidRPr="00E15F49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5F49">
        <w:rPr>
          <w:sz w:val="28"/>
          <w:szCs w:val="28"/>
        </w:rPr>
        <w:t>Также Донцов уточнил, что пробный запуск линии состоится уже в январе 2024 года. Первоначально, в первый год функционирования площадки, «</w:t>
      </w:r>
      <w:proofErr w:type="spellStart"/>
      <w:r w:rsidRPr="00E15F49">
        <w:rPr>
          <w:sz w:val="28"/>
          <w:szCs w:val="28"/>
        </w:rPr>
        <w:t>Инфинтех</w:t>
      </w:r>
      <w:proofErr w:type="spellEnd"/>
      <w:r w:rsidRPr="00E15F49">
        <w:rPr>
          <w:sz w:val="28"/>
          <w:szCs w:val="28"/>
        </w:rPr>
        <w:t xml:space="preserve">» планирует собрать от 1000 до 3000 </w:t>
      </w:r>
      <w:proofErr w:type="spellStart"/>
      <w:r w:rsidRPr="00E15F49">
        <w:rPr>
          <w:sz w:val="28"/>
          <w:szCs w:val="28"/>
        </w:rPr>
        <w:t>беспилотников</w:t>
      </w:r>
      <w:proofErr w:type="spellEnd"/>
      <w:r w:rsidRPr="00E15F49">
        <w:rPr>
          <w:sz w:val="28"/>
          <w:szCs w:val="28"/>
        </w:rPr>
        <w:t>, но в дальнейшем производство будет расширено.</w:t>
      </w:r>
    </w:p>
    <w:p w:rsidR="00796A68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4" w:history="1">
        <w:r w:rsidRPr="00E15F49">
          <w:rPr>
            <w:rStyle w:val="a3"/>
            <w:sz w:val="28"/>
            <w:szCs w:val="28"/>
          </w:rPr>
          <w:t>www.techcult.ru</w:t>
        </w:r>
      </w:hyperlink>
    </w:p>
    <w:p w:rsidR="00796A68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96A68" w:rsidRPr="00DE58AA" w:rsidRDefault="00796A68" w:rsidP="00796A6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Разработка ВНИИ ГОЧС пройдёт «боевое крещение» во время Крещенских купаний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27BE55D" wp14:editId="261AFEAC">
            <wp:simplePos x="0" y="0"/>
            <wp:positionH relativeFrom="column">
              <wp:posOffset>1905</wp:posOffset>
            </wp:positionH>
            <wp:positionV relativeFrom="paragraph">
              <wp:posOffset>1018540</wp:posOffset>
            </wp:positionV>
            <wp:extent cx="3159760" cy="1811020"/>
            <wp:effectExtent l="0" t="0" r="2540" b="0"/>
            <wp:wrapTight wrapText="bothSides">
              <wp:wrapPolygon edited="0">
                <wp:start x="0" y="0"/>
                <wp:lineTo x="0" y="21358"/>
                <wp:lineTo x="21487" y="21358"/>
                <wp:lineTo x="21487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2" t="59956" r="66261" b="17943"/>
                    <a:stretch/>
                  </pic:blipFill>
                  <pic:spPr bwMode="auto">
                    <a:xfrm>
                      <a:off x="0" y="0"/>
                      <a:ext cx="315976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58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Впервые автономный энергетический модуль, разработанный ВНИИ ГОЧС совместно с научно-производственным объединением «ЭЛТЕХМАШ», обеспечит теплом участников Крещенских купаний.</w:t>
      </w: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Техника будет использоваться для обогрева двух палаток на территории Северного административного округа столицы (</w:t>
      </w:r>
      <w:proofErr w:type="spell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Химкинское</w:t>
      </w:r>
      <w:proofErr w:type="spell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водохранилище, Прибрежный проезд, д. 1-7) с вечера 18 января и в течение следующего дня.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 единственный практический опыт применения установки. Летом во время обильных дождей её несколько раз использовали для просушки подвалов строений в Москве и в Московской области.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Энергетический модуль кроме обогрева помещений способен в полевых условиях обеспечить горячей водой и электричеством. Сегодня, оценив его уникальные возможности, устройство уже приобрели для использования на удалённых месторождениях нефти и газа, а также при капитальном ремонте, реконструкции или вновь начинаемых строительствах.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Изначально предполагалось, что установка станет незаменимой в условиях чрезвычайных ситуаций – в пунктах временного размещения населения, а также для обеспечения жизнедеятельности сил ликвидации ЧС.</w:t>
      </w:r>
    </w:p>
    <w:p w:rsidR="00796A68" w:rsidRPr="00DE58AA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E58AA">
        <w:rPr>
          <w:i/>
          <w:sz w:val="28"/>
          <w:szCs w:val="28"/>
        </w:rPr>
        <w:t xml:space="preserve">«Уникальность энергетического модуля в том, что аналогов на сегодняшний день в нашей стране не существует. При создании этого технического средства используются только отечественные технологии и комплектующие. Уверены, что установка будет востребована для обеспечения жизнедеятельности пострадавшего населения, а также сил РСЧС и гражданской обороны в районах размещения и проведения аварийно-спасательных работ. Она может применяться для обогрева зданий при </w:t>
      </w:r>
      <w:r w:rsidRPr="00DE58AA">
        <w:rPr>
          <w:i/>
          <w:sz w:val="28"/>
          <w:szCs w:val="28"/>
        </w:rPr>
        <w:lastRenderedPageBreak/>
        <w:t>аварийных отключениях теплоснабжения, в пунктах временного размещения населения, а также для просушки сооружений после подтопления. Модуль может использоваться при организации пунктов обогрева на зимних трассах, что, например, сейчас особенно актуально», — отмечает заместитель начальника института Игорь Сосунов.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Модуль работает на всех видах жидкого топлива - дизельном, керосине и отработанном масле.</w:t>
      </w: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способен обогреть до комфортной температуры пневмокаркасный модуль, в котором одновременно могут находиться до 30 человек. Разработчики также предусматривают возможность подключения выносных датчиков </w:t>
      </w:r>
      <w:proofErr w:type="gram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содержанием угарного и углекислого газов для обеспечения безопасности людей, находящихся в помещениях.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«Еще одна важная характеристика модуля – возможность нагрева воды. При работе установки гарантирована подача до 400 литров горячей воды в час, а также до 4 кВт электрической энергии. Наличие собственной фильтровальной системы позволяет использовать воду практически из любого источника: открытого водоёма, пожарных и хозяйственных гидрантов, поливомоечных машин или за счёт талого снега, для чего установка может комплектоваться специальной </w:t>
      </w:r>
      <w:proofErr w:type="spell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снегоплавильней</w:t>
      </w:r>
      <w:proofErr w:type="spell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», — комментирует возможности разработки кандидат технических наук, ведущий научный сотрудник ВНИИ ГОЧС Олег Виноградов.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потребность в таком модуле растёт, а потому и расширяется его линейка за счёт увеличения мощности и производительности. Есть предварительные запросы от представителей тепличных хозяйств, молочного и консервного производства, связанные с необходимостью обеспечения бесперебойным теплом и горячей водой. В транспортной сфере есть потребность использования установки в предпусковой подготовке автомобилей, самолетов и иной техники для эксплуатации.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генерального директора «ЭЛТЕХМАШ» Антон Бутаков отмечает, что сотрудничество с ВНИИ ГОЧС позволяет повысить эффективность предприятия: «Благодаря сотрудничеству с институтом мы сможем выработать оригинальный ассортимент выпускаемой продукции и осуществить инновационное перевооружение производства. Мобилизуя собственный научно-технический потенциал, усиленный взаимодействием с ВНИИ ГОЧС, мы укрепим наши позиции на рынке. Мы рады новым возможностям, которые научный институт МЧС предоставляет с точки зрения присутствия на рынке. Поскольку у обеих сторон есть свои собственные области исследований и разработок, имеет смысл объединить их в поисках общих целей. Когда несколько команд работают вместе, особенно когда они работают в междисциплинарных областях, результаты исследований шире и глубже, чем те, которые были бы получены в результате независимого исследования или работы одной команды учёных».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Автономный энергетический модуль был представлен на площадке Международного салона «</w:t>
      </w:r>
      <w:proofErr w:type="gram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Комплексная</w:t>
      </w:r>
      <w:proofErr w:type="gram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безопасность-2023», где вызвал </w:t>
      </w: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широкий интерес представителей субъектов, в том числе начальников главных управлений МЧС России.</w:t>
      </w:r>
    </w:p>
    <w:p w:rsidR="00796A68" w:rsidRPr="00DE58AA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6" w:history="1">
        <w:r w:rsidRPr="00DE58AA">
          <w:rPr>
            <w:sz w:val="28"/>
            <w:szCs w:val="28"/>
          </w:rPr>
          <w:t>vniigochs.ru</w:t>
        </w:r>
      </w:hyperlink>
    </w:p>
    <w:p w:rsidR="00796A68" w:rsidRDefault="00796A68" w:rsidP="00796A6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96A68" w:rsidRDefault="00796A68" w:rsidP="00796A68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796A68" w:rsidRDefault="00796A68" w:rsidP="00796A6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96A68" w:rsidRPr="00DE58AA" w:rsidRDefault="00796A68" w:rsidP="00796A6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ЕЭК представила итоги работы за последнее четырехлетие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Евразийская экономическая комиссия опубликовала отчет о своей деятельности в 2020 – 2023 годах.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вступительном слове Председатель Коллегии ЕЭК Михаил </w:t>
      </w:r>
      <w:proofErr w:type="spell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Мясникович</w:t>
      </w:r>
      <w:proofErr w:type="spell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 ключевые цифры, характеризующие развитие Евразийского экономического союза в минувшем четырехлетии: «В 2020-2023 годах объем ВВП ЕАЭС увеличился на 4,1%, достигнув 2,2 трлн. долларов. Промышленное производство выросло на 8,3%, в том числе в обрабатывающей промышленности – на 5,7%. Производство продукции сельского хозяйства увеличилось на 11,8%. Объем взаимной торговли государств ЕАЭС за тот же период вырос в 1,5 раза».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основных событий последнего четырехлетия в ЕАЭС – подготовка Комиссией и затем утверждение главами государств Союза Стратегических направлений развития евразийской экономической интеграции до 2025 года с последующей их реализацией. Стратегия-2025 расширила горизонты Договора о ЕАЭС и ознаменовала собой переход от этапа становления к этапу проектной интеграции.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ускорения экономического роста в ЕАЭС началась выработка подходов по наращиванию инвестиционной и инновационной активности на основе эффективного использования производственных мощностей, трудовых ресурсов и научно-технического потенциала. Разработан новый механизм финансирования кооперационных проектов, который позволит уже в 2024 году приступить к их отбору и реализации. Вступило в силу Соглашение о применении в ЕАЭС навигационных пломб для отслеживания перевозок, его практическая реализация должна стартовать в начале 2024 года. Подписано Соглашение о взаимном признании банковских гарантий при осуществлении государственных закупок. Тем самым фактически завершены работы по вопросам, которые не решались много лет.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25 декабря 2023 года главы государств Евразийского экономического союза подписали Декларацию развития ЕАЭС до 2030 года и на период до 2045 года «Евразийский экономический путь». Декларация определяет задачи Союза на среднесрочную перспективу до 2030 года на пути его превращения к 2045 году в самодостаточный, гармонично развитый и привлекательный для всех стран мира макрорегион, обладающий экономико-технологическим и интеллектуальным лидерством и поддерживающий высокий уровень благосостояния населения государств-</w:t>
      </w:r>
      <w:proofErr w:type="spell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</w:t>
      </w:r>
      <w:proofErr w:type="gram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</w:t>
      </w:r>
      <w:proofErr w:type="spell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ЕАЭС – важный элемент архитектуры международных экономических отношений. В 2020 году два государства получили статус наблюдателя при ЕАЭС: Куба и Узбекистан. Завершена работа с Ираном по переходу от </w:t>
      </w:r>
      <w:proofErr w:type="gram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временного</w:t>
      </w:r>
      <w:proofErr w:type="gram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полноформатному торговому соглашению. Совместно с ШОС, АСЕАН и СВМДА формируется пространство бесшовной связанности в Большой Евразии, совместно с Китайской Народной Республикой – </w:t>
      </w: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осуществляется сопряжение евразийской интеграции и инициативы «Один пояс, один путь». Выстраивается конструктивный диалог с БРИКС и Африканским союзом. Эта работа является вкладом в практическую реализацию идеи Большого Евразийского партнерства.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</w:t>
      </w:r>
      <w:proofErr w:type="gram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словам Председателя Коллегии ЕЭК, Евразийский экономический союз стал неотъемлемой частью нашей жизни, весомым объединяющим началом не только в сугубо экономическом смысле. «У нас, несмотря на все наши различия, значительно больше общего, объединяющего, – подчеркнул Михаил </w:t>
      </w:r>
      <w:proofErr w:type="spellStart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Мясникович</w:t>
      </w:r>
      <w:proofErr w:type="spellEnd"/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И с общечеловеческой точки зрения, и с точки зрения экономик пятерки наших стран: Республики Армения, Республики Беларусь, Республики Казахстан, Кыргызской Республики и Российской Федерации. Полагаю, что это наша главная ценность, которую нужно сохранить и приумножить».</w:t>
      </w:r>
    </w:p>
    <w:p w:rsidR="00796A68" w:rsidRPr="00DE58AA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отчете представлены результаты работы всех блоков Комиссии: Председателя Коллегии ЕЭК; интеграции и макроэкономики; экономики и финансовой политики; промышленности и агропромышленного комплекса; торговли; таможенного сотрудничества; конкуренции и антимонопольного регулирования; технического регулирования; энергетики и инфраструктуры; внутренних рынков, информатизации, информационно-коммуникационных технологий.</w:t>
      </w:r>
    </w:p>
    <w:p w:rsidR="00796A68" w:rsidRDefault="00796A68" w:rsidP="00796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носит фактически не только отчетный характер. Оно значительно шире по содержанию: включает в себя как историческую часть, так и перспективы евразийского развития, которые представлены в материалах по всем направлениям деятельности Комиссии.</w:t>
      </w:r>
    </w:p>
    <w:p w:rsidR="000579C8" w:rsidRPr="00796A68" w:rsidRDefault="000579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0579C8" w:rsidRPr="00796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A6"/>
    <w:rsid w:val="000579C8"/>
    <w:rsid w:val="00796A68"/>
    <w:rsid w:val="008D3C30"/>
    <w:rsid w:val="00F7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6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6A6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9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6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6A6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9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ew-science.ru/solnechnye-paneli-novye-elementy-mogut-snizit-stoimost-v-4-raza/" TargetMode="External"/><Relationship Id="rId12" Type="http://schemas.openxmlformats.org/officeDocument/2006/relationships/hyperlink" Target="https://www.techcult.ru/science/13333-legkij-i-prochnyj-kompoz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niigochs.ru/news/805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fireproductsearch.com/intersec-2024-to-propel-fire-and-rescue-innovations-in-the-ua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ireproductsearch.com/intersec/" TargetMode="External"/><Relationship Id="rId14" Type="http://schemas.openxmlformats.org/officeDocument/2006/relationships/hyperlink" Target="http://www.techcu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2823</Words>
  <Characters>16092</Characters>
  <Application>Microsoft Office Word</Application>
  <DocSecurity>0</DocSecurity>
  <Lines>134</Lines>
  <Paragraphs>37</Paragraphs>
  <ScaleCrop>false</ScaleCrop>
  <Company/>
  <LinksUpToDate>false</LinksUpToDate>
  <CharactersWithSpaces>18878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Виталий</dc:creator>
  <cp:keywords/>
  <dc:description/>
  <cp:lastModifiedBy>Воронович Виталий</cp:lastModifiedBy>
  <cp:revision>2</cp:revision>
  <dcterms:created xsi:type="dcterms:W3CDTF">2024-02-07T13:04:00Z</dcterms:created>
  <dcterms:modified xsi:type="dcterms:W3CDTF">2024-02-07T13:05:00Z</dcterms:modified>
</cp:coreProperties>
</file>